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Современные коммуникативные технологии</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«Практикум. Современные коммуникативные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555.9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40.7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790.8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3821.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выразительность, красота, уместность. «Идеальный» коммуникатор: к вопросу о национальном риторическом идеале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2.Умение говорить;</w:t>
            </w:r>
          </w:p>
          <w:p>
            <w:pPr>
              <w:jc w:val="both"/>
              <w:spacing w:after="0" w:line="240" w:lineRule="auto"/>
              <w:rPr>
                <w:sz w:val="24"/>
                <w:szCs w:val="24"/>
              </w:rPr>
            </w:pPr>
            <w:r>
              <w:rPr>
                <w:rFonts w:ascii="Times New Roman" w:hAnsi="Times New Roman" w:cs="Times New Roman"/>
                <w:color w:val="#000000"/>
                <w:sz w:val="24"/>
                <w:szCs w:val="24"/>
              </w:rPr>
              <w:t> 3.Умение слушать;</w:t>
            </w:r>
          </w:p>
          <w:p>
            <w:pPr>
              <w:jc w:val="both"/>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6.Язык - как зеркало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both"/>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https://urait.ru/bcode/450965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2024-2025_ФГОС3++2024_Маг-ЗФО-Менеджмент(РМСиТПО)(24)_plx_Практикум_ Современные коммуникативные технологии</dc:title>
  <dc:creator>FastReport.NET</dc:creator>
</cp:coreProperties>
</file>